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77B1B" w:rsidRDefault="00D53879">
      <w:pPr>
        <w:spacing w:line="360" w:lineRule="auto"/>
        <w:jc w:val="right"/>
      </w:pPr>
      <w:r>
        <w:rPr>
          <w:rFonts w:ascii="Times New Roman" w:eastAsia="Times New Roman" w:hAnsi="Times New Roman" w:cs="Times New Roman"/>
          <w:b/>
        </w:rPr>
        <w:t>Příloha</w:t>
      </w:r>
    </w:p>
    <w:p w:rsidR="00A77B1B" w:rsidRDefault="00A77B1B">
      <w:pPr>
        <w:spacing w:line="360" w:lineRule="auto"/>
        <w:jc w:val="right"/>
      </w:pPr>
    </w:p>
    <w:p w:rsidR="00A77B1B" w:rsidRDefault="00D53879">
      <w:pPr>
        <w:spacing w:line="360" w:lineRule="auto"/>
        <w:jc w:val="center"/>
      </w:pPr>
      <w:r>
        <w:rPr>
          <w:rFonts w:ascii="Times New Roman" w:eastAsia="Times New Roman" w:hAnsi="Times New Roman" w:cs="Times New Roman"/>
          <w:b/>
        </w:rPr>
        <w:t>Vypořádání připomínek ze stanoviska Rady pro výzkum, vývoj a inovace</w:t>
      </w:r>
    </w:p>
    <w:p w:rsidR="00A77B1B" w:rsidRDefault="00D53879">
      <w:pPr>
        <w:spacing w:line="360" w:lineRule="auto"/>
        <w:jc w:val="center"/>
      </w:pPr>
      <w:r>
        <w:rPr>
          <w:rFonts w:ascii="Times New Roman" w:eastAsia="Times New Roman" w:hAnsi="Times New Roman" w:cs="Times New Roman"/>
          <w:b/>
        </w:rPr>
        <w:t>k materiálu „Program výzkumných potřeb veřejné správy v aplikovaném výzkumu a inovacích BETA2“</w:t>
      </w:r>
    </w:p>
    <w:p w:rsidR="00A77B1B" w:rsidRDefault="00A77B1B">
      <w:pPr>
        <w:jc w:val="both"/>
      </w:pPr>
    </w:p>
    <w:tbl>
      <w:tblPr>
        <w:tblStyle w:val="a"/>
        <w:tblW w:w="1421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12"/>
        <w:gridCol w:w="7106"/>
      </w:tblGrid>
      <w:tr w:rsidR="00A77B1B">
        <w:tc>
          <w:tcPr>
            <w:tcW w:w="7112" w:type="dxa"/>
          </w:tcPr>
          <w:p w:rsidR="00A77B1B" w:rsidRDefault="00D53879">
            <w:pPr>
              <w:jc w:val="both"/>
            </w:pPr>
            <w:r>
              <w:rPr>
                <w:rFonts w:ascii="Times New Roman" w:eastAsia="Times New Roman" w:hAnsi="Times New Roman" w:cs="Times New Roman"/>
                <w:b/>
              </w:rPr>
              <w:t>Připomínka</w:t>
            </w:r>
          </w:p>
        </w:tc>
        <w:tc>
          <w:tcPr>
            <w:tcW w:w="7106" w:type="dxa"/>
          </w:tcPr>
          <w:p w:rsidR="00A77B1B" w:rsidRDefault="00D53879">
            <w:pPr>
              <w:jc w:val="both"/>
            </w:pPr>
            <w:r>
              <w:rPr>
                <w:rFonts w:ascii="Times New Roman" w:eastAsia="Times New Roman" w:hAnsi="Times New Roman" w:cs="Times New Roman"/>
                <w:b/>
              </w:rPr>
              <w:t>Vypořádání</w:t>
            </w:r>
          </w:p>
        </w:tc>
      </w:tr>
      <w:tr w:rsidR="00A77B1B">
        <w:tc>
          <w:tcPr>
            <w:tcW w:w="7112" w:type="dxa"/>
          </w:tcPr>
          <w:p w:rsidR="00A77B1B" w:rsidRDefault="00D53879">
            <w:pPr>
              <w:jc w:val="both"/>
            </w:pPr>
            <w:r>
              <w:rPr>
                <w:rFonts w:ascii="Times New Roman" w:eastAsia="Times New Roman" w:hAnsi="Times New Roman" w:cs="Times New Roman"/>
                <w:b/>
              </w:rPr>
              <w:t>Zásadní připomínky k dokumentu:</w:t>
            </w:r>
          </w:p>
          <w:p w:rsidR="00A77B1B" w:rsidRDefault="00D53879">
            <w:pPr>
              <w:jc w:val="both"/>
            </w:pPr>
            <w:r>
              <w:rPr>
                <w:rFonts w:ascii="Times New Roman" w:eastAsia="Times New Roman" w:hAnsi="Times New Roman" w:cs="Times New Roman"/>
              </w:rPr>
              <w:t>1) TA ČR uvádí, že předložený návrh Programu má svým posláním a cíli navázat na Program veřejných zakázek ve výzkumu, vývoji a inovacích pro potřeby státní správy BETA. Z tohoto důvodu se jeví jako zcela nejasný uvedený název programu, ve kterém byly veřejné zakázky zaměněny za výzkumné potřeby a státní správa za správu veřejnou. Rada vyslovuje nesouhlas s uvedeným názvem programu. Z dokumentu jednoznačně nevyplývá, zda v rámci realizace Programu hodlá TA ČR řešit výzkumné potřeby pro veřejnou či státní správu.</w:t>
            </w:r>
          </w:p>
          <w:p w:rsidR="00A77B1B" w:rsidRDefault="00A77B1B">
            <w:pPr>
              <w:jc w:val="both"/>
            </w:pPr>
          </w:p>
          <w:p w:rsidR="00A77B1B" w:rsidRDefault="00D53879">
            <w:pPr>
              <w:jc w:val="both"/>
            </w:pPr>
            <w:r>
              <w:rPr>
                <w:rFonts w:ascii="Times New Roman" w:eastAsia="Times New Roman" w:hAnsi="Times New Roman" w:cs="Times New Roman"/>
              </w:rPr>
              <w:t>2) Protože v dalších částech textu např. v části 12. Způsobilost uchazečů, 13. Podmínky pro poskytnutí účelové podpory i dalších se hovoří o podpoře na projekty, není zcela jasné, zda TA ČR jako poskytovatel podpory nehodlá v rámci programu BETA2 financovat např. výzkumné potřeby.</w:t>
            </w:r>
          </w:p>
          <w:p w:rsidR="00A77B1B" w:rsidRDefault="00A77B1B">
            <w:pPr>
              <w:jc w:val="both"/>
            </w:pPr>
          </w:p>
          <w:p w:rsidR="00A77B1B" w:rsidRDefault="00D53879">
            <w:pPr>
              <w:jc w:val="both"/>
            </w:pPr>
            <w:r>
              <w:rPr>
                <w:rFonts w:ascii="Times New Roman" w:eastAsia="Times New Roman" w:hAnsi="Times New Roman" w:cs="Times New Roman"/>
              </w:rPr>
              <w:t>3) Rada zásadně nesouhlasí s tím, aby TA ČR jako poskytovatel byl rovněž příjemcem finančních prostředků v programu BETA2. Hlavním důvodem je, že není možné, aby TA ČR zadával veřejnou zakázku jako poskytovatel pro svou vlastní potřebu. TA ČR je sice organizační složkou státu, ale nepatří mezi orgány státní správy, pro které je program určen.</w:t>
            </w:r>
          </w:p>
          <w:p w:rsidR="00A77B1B" w:rsidRDefault="00D53879">
            <w:pPr>
              <w:jc w:val="both"/>
            </w:pPr>
            <w:r>
              <w:rPr>
                <w:rFonts w:ascii="Times New Roman" w:eastAsia="Times New Roman" w:hAnsi="Times New Roman" w:cs="Times New Roman"/>
              </w:rPr>
              <w:lastRenderedPageBreak/>
              <w:t>Vzhledem k opakované připomínce zásadního charakteru Rada žádá, aby TA ČR uvedl všechny předpokládané příjemce podpory z Programu a nepoužíval ve výčtu příjemců obrat „další orgány státní správy“.</w:t>
            </w:r>
          </w:p>
        </w:tc>
        <w:tc>
          <w:tcPr>
            <w:tcW w:w="7106" w:type="dxa"/>
          </w:tcPr>
          <w:p w:rsidR="00A77B1B" w:rsidRDefault="00D53879">
            <w:pPr>
              <w:jc w:val="both"/>
            </w:pPr>
            <w:r>
              <w:rPr>
                <w:rFonts w:ascii="Times New Roman" w:eastAsia="Times New Roman" w:hAnsi="Times New Roman" w:cs="Times New Roman"/>
                <w:b/>
              </w:rPr>
              <w:lastRenderedPageBreak/>
              <w:t>Akceptováno</w:t>
            </w:r>
          </w:p>
          <w:p w:rsidR="00A77B1B" w:rsidRDefault="00D53879">
            <w:pPr>
              <w:jc w:val="both"/>
            </w:pPr>
            <w:r>
              <w:rPr>
                <w:rFonts w:ascii="Times New Roman" w:eastAsia="Times New Roman" w:hAnsi="Times New Roman" w:cs="Times New Roman"/>
              </w:rPr>
              <w:t>1) Názvy programů veřejných zakázek MO</w:t>
            </w:r>
            <w:r w:rsidR="00893F7B">
              <w:rPr>
                <w:rFonts w:ascii="Times New Roman" w:eastAsia="Times New Roman" w:hAnsi="Times New Roman" w:cs="Times New Roman"/>
              </w:rPr>
              <w:t xml:space="preserve"> a MV</w:t>
            </w:r>
            <w:r>
              <w:rPr>
                <w:rFonts w:ascii="Times New Roman" w:eastAsia="Times New Roman" w:hAnsi="Times New Roman" w:cs="Times New Roman"/>
              </w:rPr>
              <w:t xml:space="preserve"> také neobsahují pojem “veřejná zakázka”</w:t>
            </w:r>
            <w:r w:rsidR="000B043F">
              <w:rPr>
                <w:rFonts w:ascii="Times New Roman" w:eastAsia="Times New Roman" w:hAnsi="Times New Roman" w:cs="Times New Roman"/>
              </w:rPr>
              <w:t xml:space="preserve"> (</w:t>
            </w:r>
            <w:r w:rsidR="00F278EA" w:rsidRPr="00F278EA">
              <w:rPr>
                <w:rFonts w:ascii="Times New Roman" w:eastAsia="Times New Roman" w:hAnsi="Times New Roman" w:cs="Times New Roman"/>
              </w:rPr>
              <w:t>programy MO - Rozvoj ozbrojených sil v České republice, Obranný aplikovaný výzkum, experimentální vývoj a inovace</w:t>
            </w:r>
            <w:r w:rsidR="00F278EA">
              <w:rPr>
                <w:rFonts w:ascii="Times New Roman" w:eastAsia="Times New Roman" w:hAnsi="Times New Roman" w:cs="Times New Roman"/>
              </w:rPr>
              <w:t>;</w:t>
            </w:r>
            <w:r w:rsidR="00F278EA" w:rsidRPr="00F278EA">
              <w:rPr>
                <w:rFonts w:ascii="Times New Roman" w:eastAsia="Times New Roman" w:hAnsi="Times New Roman" w:cs="Times New Roman"/>
              </w:rPr>
              <w:t xml:space="preserve"> </w:t>
            </w:r>
            <w:r w:rsidR="000B043F">
              <w:rPr>
                <w:rFonts w:ascii="Times New Roman" w:eastAsia="Times New Roman" w:hAnsi="Times New Roman" w:cs="Times New Roman"/>
              </w:rPr>
              <w:t>program MV - Bezpečnostní výzkum pro potřeby státu</w:t>
            </w:r>
            <w:r w:rsidR="00F278EA">
              <w:rPr>
                <w:rFonts w:ascii="Times New Roman" w:eastAsia="Times New Roman" w:hAnsi="Times New Roman" w:cs="Times New Roman"/>
              </w:rPr>
              <w:t xml:space="preserve"> v letech 2010 - 2015)</w:t>
            </w:r>
            <w:r>
              <w:rPr>
                <w:rFonts w:ascii="Times New Roman" w:eastAsia="Times New Roman" w:hAnsi="Times New Roman" w:cs="Times New Roman"/>
              </w:rPr>
              <w:t>, ale spíše</w:t>
            </w:r>
            <w:bookmarkStart w:id="0" w:name="_GoBack"/>
            <w:bookmarkEnd w:id="0"/>
            <w:r>
              <w:rPr>
                <w:rFonts w:ascii="Times New Roman" w:eastAsia="Times New Roman" w:hAnsi="Times New Roman" w:cs="Times New Roman"/>
              </w:rPr>
              <w:t xml:space="preserve"> vystihují podstatu samotného programu. Proto i nový program, ačkoliv navazuje na program BETA, obsahuje v názvu podstatu, kterou je realizace výzkumných potřeb 10 resortů prostřednictvím veřejných zakázek. Navíc původní název reflektoval spíše stav, kdy samotný poskytovatel, který je veřejným zadavatelem dle ZVZ, je tím orgánem, jehož výzkumná potřeba je řešena - toto je případ MV a MO. V programu BETA je zadavatelem TA ČR, ale ta řeší výzkumné potřeby několika dalších samostatných resortů, kte</w:t>
            </w:r>
            <w:r w:rsidR="000248F2">
              <w:rPr>
                <w:rFonts w:ascii="Times New Roman" w:eastAsia="Times New Roman" w:hAnsi="Times New Roman" w:cs="Times New Roman"/>
              </w:rPr>
              <w:t>r</w:t>
            </w:r>
            <w:r w:rsidR="00481D7B">
              <w:rPr>
                <w:rFonts w:ascii="Times New Roman" w:eastAsia="Times New Roman" w:hAnsi="Times New Roman" w:cs="Times New Roman"/>
              </w:rPr>
              <w:t>é</w:t>
            </w:r>
            <w:r>
              <w:rPr>
                <w:rFonts w:ascii="Times New Roman" w:eastAsia="Times New Roman" w:hAnsi="Times New Roman" w:cs="Times New Roman"/>
              </w:rPr>
              <w:t xml:space="preserve"> jsou ovšem v jiných oblastech sami veřejnými zadavateli. Změnou názvu je tato potenciální nejasnost odstraněna. Upravený název programu bude: Program výzkumných potřeb státní správy v aplikovaném výzkumu a inovacích BETA2.</w:t>
            </w:r>
          </w:p>
          <w:p w:rsidR="00A77B1B" w:rsidRDefault="00A77B1B">
            <w:pPr>
              <w:jc w:val="both"/>
            </w:pPr>
          </w:p>
          <w:p w:rsidR="00A77B1B" w:rsidRDefault="00D53879">
            <w:pPr>
              <w:jc w:val="both"/>
            </w:pPr>
            <w:r>
              <w:rPr>
                <w:rFonts w:ascii="Times New Roman" w:eastAsia="Times New Roman" w:hAnsi="Times New Roman" w:cs="Times New Roman"/>
              </w:rPr>
              <w:t xml:space="preserve">2) Podstata realizace programu je podle z. č. 130/2002 Sb., v souladu s §2, odst. 2, písm. g) a i) a s §3, odst. 2, písm. b) §4, odst. 1, písm. c) poskytována jako účelová podpora programových projektů, které řeší výzkumné potřeby identifikované příslušnými resorty. TA ČR tedy </w:t>
            </w:r>
            <w:r>
              <w:rPr>
                <w:rFonts w:ascii="Times New Roman" w:eastAsia="Times New Roman" w:hAnsi="Times New Roman" w:cs="Times New Roman"/>
              </w:rPr>
              <w:lastRenderedPageBreak/>
              <w:t>bude poskytovat podporu na projekty, které řeší výzkumné potřeby resortů.</w:t>
            </w:r>
          </w:p>
          <w:p w:rsidR="00A77B1B" w:rsidRDefault="00A77B1B">
            <w:pPr>
              <w:jc w:val="both"/>
            </w:pPr>
          </w:p>
          <w:p w:rsidR="00A77B1B" w:rsidRDefault="00D53879">
            <w:pPr>
              <w:jc w:val="both"/>
            </w:pPr>
            <w:r>
              <w:rPr>
                <w:rFonts w:ascii="Times New Roman" w:eastAsia="Times New Roman" w:hAnsi="Times New Roman" w:cs="Times New Roman"/>
              </w:rPr>
              <w:t>3) TA ČR nebyla a nebude příjemcem podpory programu BETA. V souladu se zákonnou úpravou (definicí) veřejné zakázky ve výzkumu, vývoji a inovacích podle §. 2 odst. 2 písm. g) č.130/2002 Sb., je TA ČR poskytovatelem a může být uživatelem výsledků. Text je upraven do podoby vládou schválené verz</w:t>
            </w:r>
            <w:r w:rsidR="009A55F5">
              <w:rPr>
                <w:rFonts w:ascii="Times New Roman" w:eastAsia="Times New Roman" w:hAnsi="Times New Roman" w:cs="Times New Roman"/>
              </w:rPr>
              <w:t>e</w:t>
            </w:r>
            <w:r>
              <w:rPr>
                <w:rFonts w:ascii="Times New Roman" w:eastAsia="Times New Roman" w:hAnsi="Times New Roman" w:cs="Times New Roman"/>
              </w:rPr>
              <w:t xml:space="preserve"> programu BETA (tedy v nezměněné podobě a s odebráním textu “další orgány státní správy”). </w:t>
            </w:r>
          </w:p>
          <w:p w:rsidR="00A77B1B" w:rsidRDefault="00A77B1B">
            <w:pPr>
              <w:jc w:val="both"/>
            </w:pPr>
          </w:p>
        </w:tc>
      </w:tr>
      <w:tr w:rsidR="00A77B1B">
        <w:tc>
          <w:tcPr>
            <w:tcW w:w="7112" w:type="dxa"/>
          </w:tcPr>
          <w:p w:rsidR="00A77B1B" w:rsidRDefault="00D53879">
            <w:pPr>
              <w:jc w:val="both"/>
            </w:pPr>
            <w:r>
              <w:rPr>
                <w:rFonts w:ascii="Times New Roman" w:eastAsia="Times New Roman" w:hAnsi="Times New Roman" w:cs="Times New Roman"/>
                <w:b/>
              </w:rPr>
              <w:lastRenderedPageBreak/>
              <w:t>Připomínka k části 5. Doba trvání a termín vyhlášení Programu:</w:t>
            </w:r>
          </w:p>
          <w:p w:rsidR="00A77B1B" w:rsidRDefault="00D53879">
            <w:pPr>
              <w:jc w:val="both"/>
            </w:pPr>
            <w:r>
              <w:rPr>
                <w:rFonts w:ascii="Times New Roman" w:eastAsia="Times New Roman" w:hAnsi="Times New Roman" w:cs="Times New Roman"/>
              </w:rPr>
              <w:t>S ohledem na navrženou dobu trvání Programu (8 let) Rada doporučuje stanovení minimální a maximální doby realizace schválených veřejných zakázek.</w:t>
            </w:r>
          </w:p>
        </w:tc>
        <w:tc>
          <w:tcPr>
            <w:tcW w:w="7106" w:type="dxa"/>
          </w:tcPr>
          <w:p w:rsidR="00A77B1B" w:rsidRDefault="00D53879">
            <w:pPr>
              <w:jc w:val="both"/>
            </w:pPr>
            <w:r>
              <w:rPr>
                <w:rFonts w:ascii="Times New Roman" w:eastAsia="Times New Roman" w:hAnsi="Times New Roman" w:cs="Times New Roman"/>
                <w:b/>
              </w:rPr>
              <w:t>Vysvětleno</w:t>
            </w:r>
          </w:p>
          <w:p w:rsidR="00A77B1B" w:rsidRDefault="00D53879">
            <w:pPr>
              <w:spacing w:after="120"/>
              <w:jc w:val="both"/>
            </w:pPr>
            <w:r>
              <w:rPr>
                <w:rFonts w:ascii="Times New Roman" w:eastAsia="Times New Roman" w:hAnsi="Times New Roman" w:cs="Times New Roman"/>
              </w:rPr>
              <w:t>S ohledem na specifičnost výzkumných potřeb jednotlivých resortů nelze paušálně stanovit minimální dobu realizace schválených veřejných zakázek.  Vychází to ze společných jednání a pr</w:t>
            </w:r>
            <w:r w:rsidR="003E7570">
              <w:rPr>
                <w:rFonts w:ascii="Times New Roman" w:eastAsia="Times New Roman" w:hAnsi="Times New Roman" w:cs="Times New Roman"/>
              </w:rPr>
              <w:t xml:space="preserve">ůběžných konzultací s resorty. </w:t>
            </w:r>
            <w:r>
              <w:rPr>
                <w:rFonts w:ascii="Times New Roman" w:eastAsia="Times New Roman" w:hAnsi="Times New Roman" w:cs="Times New Roman"/>
              </w:rPr>
              <w:t>Předpokládáme, že maximální délka podporovaného projektu bude vždy taková, aby nepřesahovala délku programu. Takto je to uvedeno i v textu programu BETA2 v části 5. Doba trvání a termín vyhlášení programu.</w:t>
            </w:r>
          </w:p>
        </w:tc>
      </w:tr>
      <w:tr w:rsidR="00A77B1B">
        <w:tc>
          <w:tcPr>
            <w:tcW w:w="7112" w:type="dxa"/>
          </w:tcPr>
          <w:p w:rsidR="00A77B1B" w:rsidRDefault="00D53879">
            <w:pPr>
              <w:jc w:val="both"/>
            </w:pPr>
            <w:r>
              <w:rPr>
                <w:rFonts w:ascii="Times New Roman" w:eastAsia="Times New Roman" w:hAnsi="Times New Roman" w:cs="Times New Roman"/>
                <w:b/>
              </w:rPr>
              <w:t>Zásadní připomínky k části 6. Celkové výdaje na Program:</w:t>
            </w:r>
          </w:p>
          <w:p w:rsidR="00A77B1B" w:rsidRDefault="00D53879">
            <w:pPr>
              <w:jc w:val="both"/>
            </w:pPr>
            <w:r>
              <w:rPr>
                <w:rFonts w:ascii="Times New Roman" w:eastAsia="Times New Roman" w:hAnsi="Times New Roman" w:cs="Times New Roman"/>
              </w:rPr>
              <w:t xml:space="preserve">Rada požaduje uvést zdůvodnění vyjádření procentního podílu na rozpočtu a další stanovování procentních podílů až po dohodě na úrovni institucí centrální státní správy. </w:t>
            </w:r>
          </w:p>
          <w:p w:rsidR="00A77B1B" w:rsidRDefault="00D53879">
            <w:pPr>
              <w:jc w:val="both"/>
            </w:pPr>
            <w:r>
              <w:rPr>
                <w:rFonts w:ascii="Times New Roman" w:eastAsia="Times New Roman" w:hAnsi="Times New Roman" w:cs="Times New Roman"/>
              </w:rPr>
              <w:t>Zároveň žádá další návrh programu členit na podprogramy, které by naplňovaly resortní potřeby.</w:t>
            </w:r>
          </w:p>
        </w:tc>
        <w:tc>
          <w:tcPr>
            <w:tcW w:w="7106" w:type="dxa"/>
          </w:tcPr>
          <w:p w:rsidR="00A77B1B" w:rsidRDefault="00D53879">
            <w:pPr>
              <w:jc w:val="both"/>
            </w:pPr>
            <w:r>
              <w:rPr>
                <w:rFonts w:ascii="Times New Roman" w:eastAsia="Times New Roman" w:hAnsi="Times New Roman" w:cs="Times New Roman"/>
                <w:b/>
              </w:rPr>
              <w:t>Akceptováno</w:t>
            </w:r>
          </w:p>
          <w:p w:rsidR="00A77B1B" w:rsidRDefault="00D53879">
            <w:pPr>
              <w:jc w:val="both"/>
            </w:pPr>
            <w:r>
              <w:rPr>
                <w:rFonts w:ascii="Times New Roman" w:eastAsia="Times New Roman" w:hAnsi="Times New Roman" w:cs="Times New Roman"/>
              </w:rPr>
              <w:t xml:space="preserve">Navržené hodnoty jsou projednány se všemi ústředními orgány státní správy, jejichž výzkumné potřeby jsou řešeny v programu BETA a budou řešeny v programu BETA2. Navržené hodnoty vycházejí z odhadu potřeb jednotlivých ústředních orgánů státní správy a ze zkušenosti s realizací programu BETA včetně zohlednění řešení výzkumných potřeb jednotlivých ústředních orgánů státní správy před rokem 2011. </w:t>
            </w:r>
          </w:p>
          <w:p w:rsidR="00A77B1B" w:rsidRDefault="00D53879">
            <w:pPr>
              <w:jc w:val="both"/>
            </w:pPr>
            <w:r>
              <w:rPr>
                <w:rFonts w:ascii="Times New Roman" w:eastAsia="Times New Roman" w:hAnsi="Times New Roman" w:cs="Times New Roman"/>
              </w:rPr>
              <w:t xml:space="preserve">Vzhledem k charakteru programu není efektivní členit ho na podprogramy, které by naplňovaly resortní potřeby. Toto členění může přinést jen </w:t>
            </w:r>
            <w:r w:rsidR="00F278EA">
              <w:rPr>
                <w:rFonts w:ascii="Times New Roman" w:eastAsia="Times New Roman" w:hAnsi="Times New Roman" w:cs="Times New Roman"/>
              </w:rPr>
              <w:t xml:space="preserve">výrazně </w:t>
            </w:r>
            <w:r>
              <w:rPr>
                <w:rFonts w:ascii="Times New Roman" w:eastAsia="Times New Roman" w:hAnsi="Times New Roman" w:cs="Times New Roman"/>
              </w:rPr>
              <w:t>vyšší administrativní zátěž</w:t>
            </w:r>
            <w:r w:rsidR="00F278EA">
              <w:rPr>
                <w:rFonts w:ascii="Times New Roman" w:eastAsia="Times New Roman" w:hAnsi="Times New Roman" w:cs="Times New Roman"/>
              </w:rPr>
              <w:t xml:space="preserve"> a prodloužení hodnotícího procesu</w:t>
            </w:r>
            <w:r>
              <w:rPr>
                <w:rFonts w:ascii="Times New Roman" w:eastAsia="Times New Roman" w:hAnsi="Times New Roman" w:cs="Times New Roman"/>
              </w:rPr>
              <w:t xml:space="preserve">. V připomínce kromě požadavku nejsou uvedeny </w:t>
            </w:r>
            <w:r>
              <w:rPr>
                <w:rFonts w:ascii="Times New Roman" w:eastAsia="Times New Roman" w:hAnsi="Times New Roman" w:cs="Times New Roman"/>
              </w:rPr>
              <w:lastRenderedPageBreak/>
              <w:t>žádné výhody požadovaného řešení.</w:t>
            </w:r>
          </w:p>
        </w:tc>
      </w:tr>
      <w:tr w:rsidR="00A77B1B">
        <w:tc>
          <w:tcPr>
            <w:tcW w:w="7112" w:type="dxa"/>
          </w:tcPr>
          <w:p w:rsidR="00A77B1B" w:rsidRDefault="00D53879">
            <w:pPr>
              <w:jc w:val="both"/>
            </w:pPr>
            <w:r>
              <w:rPr>
                <w:rFonts w:ascii="Times New Roman" w:eastAsia="Times New Roman" w:hAnsi="Times New Roman" w:cs="Times New Roman"/>
                <w:b/>
              </w:rPr>
              <w:lastRenderedPageBreak/>
              <w:t>Připomínka k části 7. Forma a míra podpory</w:t>
            </w:r>
          </w:p>
          <w:p w:rsidR="00A77B1B" w:rsidRDefault="00D53879">
            <w:pPr>
              <w:jc w:val="both"/>
            </w:pPr>
            <w:r>
              <w:rPr>
                <w:rFonts w:ascii="Times New Roman" w:eastAsia="Times New Roman" w:hAnsi="Times New Roman" w:cs="Times New Roman"/>
              </w:rPr>
              <w:t xml:space="preserve">Program uvádí, že nejvyšší povolená míra podpory je 100 %, přičemž výdaje ze státního rozpočtu jsou shodné s celkovými výdaji na program. </w:t>
            </w:r>
          </w:p>
          <w:p w:rsidR="00A77B1B" w:rsidRDefault="00D53879">
            <w:pPr>
              <w:jc w:val="both"/>
            </w:pPr>
            <w:r>
              <w:rPr>
                <w:rFonts w:ascii="Times New Roman" w:eastAsia="Times New Roman" w:hAnsi="Times New Roman" w:cs="Times New Roman"/>
              </w:rPr>
              <w:t>Rada upozorňuje, že v takovém případě není možné poskytnout projektu jinou výši než 100 % uznaných nákladů.</w:t>
            </w:r>
          </w:p>
        </w:tc>
        <w:tc>
          <w:tcPr>
            <w:tcW w:w="7106" w:type="dxa"/>
          </w:tcPr>
          <w:p w:rsidR="00A77B1B" w:rsidRDefault="00D53879">
            <w:pPr>
              <w:jc w:val="both"/>
            </w:pPr>
            <w:r>
              <w:rPr>
                <w:rFonts w:ascii="Times New Roman" w:eastAsia="Times New Roman" w:hAnsi="Times New Roman" w:cs="Times New Roman"/>
                <w:b/>
              </w:rPr>
              <w:t>Akceptováno</w:t>
            </w:r>
          </w:p>
          <w:p w:rsidR="00A77B1B" w:rsidRDefault="00D53879">
            <w:pPr>
              <w:jc w:val="both"/>
            </w:pPr>
            <w:r>
              <w:rPr>
                <w:rFonts w:ascii="Times New Roman" w:eastAsia="Times New Roman" w:hAnsi="Times New Roman" w:cs="Times New Roman"/>
              </w:rPr>
              <w:t>TA ČR bere připomínku na vědomí.</w:t>
            </w:r>
          </w:p>
        </w:tc>
      </w:tr>
      <w:tr w:rsidR="00A77B1B">
        <w:tc>
          <w:tcPr>
            <w:tcW w:w="7112" w:type="dxa"/>
          </w:tcPr>
          <w:p w:rsidR="00A77B1B" w:rsidRDefault="00D53879">
            <w:pPr>
              <w:jc w:val="both"/>
            </w:pPr>
            <w:r>
              <w:rPr>
                <w:rFonts w:ascii="Times New Roman" w:eastAsia="Times New Roman" w:hAnsi="Times New Roman" w:cs="Times New Roman"/>
                <w:b/>
              </w:rPr>
              <w:t>Zásadní připomínka k části 7. Forma a míra podpory:</w:t>
            </w:r>
          </w:p>
          <w:p w:rsidR="00A77B1B" w:rsidRDefault="00D53879">
            <w:pPr>
              <w:jc w:val="both"/>
            </w:pPr>
            <w:r>
              <w:rPr>
                <w:rFonts w:ascii="Times New Roman" w:eastAsia="Times New Roman" w:hAnsi="Times New Roman" w:cs="Times New Roman"/>
              </w:rPr>
              <w:t>Rada opakovaně (viz Stanovisko Rady k návrhu změny Programu veřejných zakázek ve výzkumu, experimentálním vývoji a inovacích pro potřeby státní správy BETA z 30. ledna 2015) poukazuje na nejasnosti v postupu při zadávání opakujících se výzkumných potřeb např. z hlediska alokace finančních prostředků i toho, které subjekty by mohly žádat o podporu na opakující se výzkumné potřeby na řešení vysoce aktuální problematiky zejména z důvodů možných duplicit ve financování.</w:t>
            </w:r>
          </w:p>
        </w:tc>
        <w:tc>
          <w:tcPr>
            <w:tcW w:w="7106" w:type="dxa"/>
          </w:tcPr>
          <w:p w:rsidR="00A77B1B" w:rsidRDefault="00D53879">
            <w:pPr>
              <w:jc w:val="both"/>
            </w:pPr>
            <w:r>
              <w:rPr>
                <w:rFonts w:ascii="Times New Roman" w:eastAsia="Times New Roman" w:hAnsi="Times New Roman" w:cs="Times New Roman"/>
                <w:b/>
              </w:rPr>
              <w:t>Vysvětleno</w:t>
            </w:r>
          </w:p>
          <w:p w:rsidR="00A77B1B" w:rsidRDefault="00D53879">
            <w:pPr>
              <w:spacing w:after="120"/>
              <w:jc w:val="both"/>
            </w:pPr>
            <w:r>
              <w:rPr>
                <w:rFonts w:ascii="Times New Roman" w:eastAsia="Times New Roman" w:hAnsi="Times New Roman" w:cs="Times New Roman"/>
              </w:rPr>
              <w:t>Uvedený zp</w:t>
            </w:r>
            <w:r w:rsidR="003E7570">
              <w:rPr>
                <w:rFonts w:ascii="Times New Roman" w:eastAsia="Times New Roman" w:hAnsi="Times New Roman" w:cs="Times New Roman"/>
              </w:rPr>
              <w:t>ůsob řeší opakující se (resp. te</w:t>
            </w:r>
            <w:r>
              <w:rPr>
                <w:rFonts w:ascii="Times New Roman" w:eastAsia="Times New Roman" w:hAnsi="Times New Roman" w:cs="Times New Roman"/>
              </w:rPr>
              <w:t>maticky se opakující) výzkumné potřeby, tedy výzkumné potřeby s předpokládaným obdobným předmětem plnění, formou jednotného vyhlášení a uzavření rámcové smlouvy podle ZVZ. Tento způsob, mimo jiné, významně minimalizuje riziko tzv. účelového dělení zakázky (s ohledem na §13, odst. 3 ZVZ), přičemž jasně stanovuje postup (tedy vyhlášení veřejné zakázky s transparentním uvedením záměru uzavřít rámcovou smlouvu), konkrétně specifikuje předpokládanou cenu (resp. hodnotu) zakázky při jejím vyhlášení a po výběru vhodného dodavatele (dle ZVZ) uzavření rámcové smlouvy s konkrétním subjektem. Navržený způsob, na rozdíl od stávajícího stavu, tedy také významně snižuje riziko duplicitního financování projektů s obdobným předmětem plnění.</w:t>
            </w:r>
          </w:p>
        </w:tc>
      </w:tr>
      <w:tr w:rsidR="00A77B1B">
        <w:tc>
          <w:tcPr>
            <w:tcW w:w="7112" w:type="dxa"/>
          </w:tcPr>
          <w:p w:rsidR="00A77B1B" w:rsidRDefault="00D53879">
            <w:pPr>
              <w:keepNext/>
              <w:jc w:val="both"/>
            </w:pPr>
            <w:r>
              <w:rPr>
                <w:rFonts w:ascii="Times New Roman" w:eastAsia="Times New Roman" w:hAnsi="Times New Roman" w:cs="Times New Roman"/>
                <w:b/>
              </w:rPr>
              <w:t>Upřesnění K části 13. Podmínky poskytnutí účelové podpory:</w:t>
            </w:r>
          </w:p>
          <w:p w:rsidR="00A77B1B" w:rsidRDefault="00D53879">
            <w:pPr>
              <w:keepNext/>
              <w:jc w:val="both"/>
            </w:pPr>
            <w:r>
              <w:rPr>
                <w:rFonts w:ascii="Times New Roman" w:eastAsia="Times New Roman" w:hAnsi="Times New Roman" w:cs="Times New Roman"/>
              </w:rPr>
              <w:t>Rada upozorňuje, že výzva k předkládání nabídek může být vyhlášena pouze k těm výzkumným potřebám, které vyhověly kritériím hodnocení výzkumných potřeb, na jejichž realizaci je v daném roce dostatečné množství prostředků a které Rada programu (odborný poradní orgán) doporučila.</w:t>
            </w:r>
          </w:p>
        </w:tc>
        <w:tc>
          <w:tcPr>
            <w:tcW w:w="7106" w:type="dxa"/>
          </w:tcPr>
          <w:p w:rsidR="00A77B1B" w:rsidRDefault="00D53879">
            <w:pPr>
              <w:jc w:val="both"/>
            </w:pPr>
            <w:r>
              <w:rPr>
                <w:rFonts w:ascii="Times New Roman" w:eastAsia="Times New Roman" w:hAnsi="Times New Roman" w:cs="Times New Roman"/>
                <w:b/>
              </w:rPr>
              <w:t>Akceptováno</w:t>
            </w:r>
          </w:p>
          <w:p w:rsidR="00A77B1B" w:rsidRDefault="00D53879">
            <w:pPr>
              <w:jc w:val="both"/>
            </w:pPr>
            <w:r>
              <w:rPr>
                <w:rFonts w:ascii="Times New Roman" w:eastAsia="Times New Roman" w:hAnsi="Times New Roman" w:cs="Times New Roman"/>
              </w:rPr>
              <w:t>Doplněno dle připomínky do programu BETA2.</w:t>
            </w:r>
          </w:p>
        </w:tc>
      </w:tr>
      <w:tr w:rsidR="00A77B1B">
        <w:tc>
          <w:tcPr>
            <w:tcW w:w="7112" w:type="dxa"/>
          </w:tcPr>
          <w:p w:rsidR="00A77B1B" w:rsidRDefault="00D53879">
            <w:pPr>
              <w:jc w:val="both"/>
            </w:pPr>
            <w:r>
              <w:rPr>
                <w:rFonts w:ascii="Times New Roman" w:eastAsia="Times New Roman" w:hAnsi="Times New Roman" w:cs="Times New Roman"/>
                <w:b/>
              </w:rPr>
              <w:t>Připomínka k části 17. Kritéria splnění cílů programu:</w:t>
            </w:r>
          </w:p>
          <w:p w:rsidR="00A77B1B" w:rsidRDefault="00D53879">
            <w:pPr>
              <w:jc w:val="both"/>
            </w:pPr>
            <w:r>
              <w:rPr>
                <w:rFonts w:ascii="Times New Roman" w:eastAsia="Times New Roman" w:hAnsi="Times New Roman" w:cs="Times New Roman"/>
              </w:rPr>
              <w:t xml:space="preserve">Větu „Dosažení cílů programu bude vyhodnocováno v souladu Metodikou hodnocení výsledků výzkumných organizací a hodnocení </w:t>
            </w:r>
            <w:r>
              <w:rPr>
                <w:rFonts w:ascii="Times New Roman" w:eastAsia="Times New Roman" w:hAnsi="Times New Roman" w:cs="Times New Roman"/>
              </w:rPr>
              <w:lastRenderedPageBreak/>
              <w:t>výsledků ukončených programů“ doplnit textem: „platnou pro příslušný rok“.</w:t>
            </w:r>
          </w:p>
        </w:tc>
        <w:tc>
          <w:tcPr>
            <w:tcW w:w="7106" w:type="dxa"/>
          </w:tcPr>
          <w:p w:rsidR="00A77B1B" w:rsidRDefault="00D53879">
            <w:pPr>
              <w:jc w:val="both"/>
            </w:pPr>
            <w:r>
              <w:rPr>
                <w:rFonts w:ascii="Times New Roman" w:eastAsia="Times New Roman" w:hAnsi="Times New Roman" w:cs="Times New Roman"/>
                <w:b/>
              </w:rPr>
              <w:lastRenderedPageBreak/>
              <w:t>Akceptováno</w:t>
            </w:r>
          </w:p>
          <w:p w:rsidR="00A77B1B" w:rsidRDefault="00D53879">
            <w:pPr>
              <w:jc w:val="both"/>
            </w:pPr>
            <w:r>
              <w:rPr>
                <w:rFonts w:ascii="Times New Roman" w:eastAsia="Times New Roman" w:hAnsi="Times New Roman" w:cs="Times New Roman"/>
              </w:rPr>
              <w:t>Doplněno dle připomínky do programu BETA2.</w:t>
            </w:r>
          </w:p>
        </w:tc>
      </w:tr>
      <w:tr w:rsidR="00A77B1B">
        <w:tc>
          <w:tcPr>
            <w:tcW w:w="7112" w:type="dxa"/>
          </w:tcPr>
          <w:p w:rsidR="00A77B1B" w:rsidRDefault="00D53879">
            <w:pPr>
              <w:jc w:val="both"/>
            </w:pPr>
            <w:bookmarkStart w:id="1" w:name="h.gjdgxs" w:colFirst="0" w:colLast="0"/>
            <w:bookmarkEnd w:id="1"/>
            <w:r>
              <w:rPr>
                <w:rFonts w:ascii="Times New Roman" w:eastAsia="Times New Roman" w:hAnsi="Times New Roman" w:cs="Times New Roman"/>
                <w:b/>
              </w:rPr>
              <w:lastRenderedPageBreak/>
              <w:t>Zásadní připomínka k části 17. Kritéria splnění cílů programu:</w:t>
            </w:r>
          </w:p>
          <w:p w:rsidR="00A77B1B" w:rsidRDefault="00D53879">
            <w:pPr>
              <w:jc w:val="both"/>
            </w:pPr>
            <w:r>
              <w:rPr>
                <w:rFonts w:ascii="Times New Roman" w:eastAsia="Times New Roman" w:hAnsi="Times New Roman" w:cs="Times New Roman"/>
              </w:rPr>
              <w:t>Z porovnání indikátorů k dosažení cílů programů BETA a BETA2 vyplývá, že v rámci programu BETA poskytovatel předpokládal na léta 2012 až 2016 (5 let) např. minimálně 180 realizovaných projektů, 15 podaných patentů, užitných vzorů, průmyslových vzorů, zavedených poloprovozů a ověřených technologií. Minimální počet aplikovaných výsledků byl plánován na 200.</w:t>
            </w:r>
          </w:p>
          <w:p w:rsidR="00A77B1B" w:rsidRDefault="00D53879">
            <w:pPr>
              <w:jc w:val="both"/>
            </w:pPr>
            <w:r>
              <w:rPr>
                <w:rFonts w:ascii="Times New Roman" w:eastAsia="Times New Roman" w:hAnsi="Times New Roman" w:cs="Times New Roman"/>
              </w:rPr>
              <w:t>V rámci navrženého programu BETA2, kde se předpokládá doba trvání 2017 – 2014 (8 let) počty indikátorů výrazně nenarůstají a v některých případech jsou i sníženy. TA ČR sice předpokládá 250 realizovaných projektů, ale 10 udělených patentů, užitných vzorů, průmyslových vzorů, zavedených poloprovozů a ověřených technologií. Minimální počet aplikovaných výsledků se plánuje na 225.</w:t>
            </w:r>
          </w:p>
          <w:p w:rsidR="00A77B1B" w:rsidRDefault="00D53879">
            <w:pPr>
              <w:jc w:val="both"/>
            </w:pPr>
            <w:r>
              <w:rPr>
                <w:rFonts w:ascii="Times New Roman" w:eastAsia="Times New Roman" w:hAnsi="Times New Roman" w:cs="Times New Roman"/>
              </w:rPr>
              <w:t>Rada žádá o pečlivější navržení indikátorů splnění cílů programu.</w:t>
            </w:r>
          </w:p>
        </w:tc>
        <w:tc>
          <w:tcPr>
            <w:tcW w:w="7106" w:type="dxa"/>
          </w:tcPr>
          <w:p w:rsidR="00A77B1B" w:rsidRDefault="00D53879">
            <w:pPr>
              <w:jc w:val="both"/>
            </w:pPr>
            <w:r>
              <w:rPr>
                <w:rFonts w:ascii="Times New Roman" w:eastAsia="Times New Roman" w:hAnsi="Times New Roman" w:cs="Times New Roman"/>
                <w:b/>
              </w:rPr>
              <w:t>Akceptováno</w:t>
            </w:r>
          </w:p>
          <w:p w:rsidR="00A77B1B" w:rsidRDefault="00D53879">
            <w:pPr>
              <w:jc w:val="both"/>
            </w:pPr>
            <w:r>
              <w:rPr>
                <w:rFonts w:ascii="Times New Roman" w:eastAsia="Times New Roman" w:hAnsi="Times New Roman" w:cs="Times New Roman"/>
              </w:rPr>
              <w:t>Program BETA2 je sice navrhován na delší dobu trvání programu, avšak identifikace a sběr výzkumných potřeb bude probíhat pouze v letech 2016 - 2021 (tj. 6 let), čili počet let (výzev) se liší pouze o jeden rok od programu BETA. V letech 2022 - 2024 bude probíhat zejména dokončování projektů a hodnocení programu.</w:t>
            </w:r>
          </w:p>
          <w:p w:rsidR="00A77B1B" w:rsidRDefault="00D53879">
            <w:pPr>
              <w:jc w:val="both"/>
            </w:pPr>
            <w:r>
              <w:rPr>
                <w:rFonts w:ascii="Times New Roman" w:eastAsia="Times New Roman" w:hAnsi="Times New Roman" w:cs="Times New Roman"/>
              </w:rPr>
              <w:t xml:space="preserve">Minimální počet aplikovaných výsledků programu BETA2 byl navýšen na 275. Tento počet aplikovaných výsledků odpovídá poměru mezi počtem úspěšně realizovaných projektů a počtem aplikovaných výsledků nastavených v současném programu BETA. Dále lze z průběhu realizace stávajícího programu BETA předpokládat, že projekty mohou/budou vytvářet více než jeden aplikovaný výsledek uznávaný programem. </w:t>
            </w:r>
          </w:p>
          <w:p w:rsidR="00A77B1B" w:rsidRDefault="00D53879">
            <w:pPr>
              <w:jc w:val="both"/>
            </w:pPr>
            <w:r>
              <w:rPr>
                <w:rFonts w:ascii="Times New Roman" w:eastAsia="Times New Roman" w:hAnsi="Times New Roman" w:cs="Times New Roman"/>
              </w:rPr>
              <w:t>Poskytovatel nicméně nepředpokládá navýšení počtu výsledků s právní ochranou, protože se 1) změnila definice ukazatele (podané patentové přihlášky vs. udělené patenty) a 2) z průběhu realizace stávajícího programu a jeho charakteru a z potřeb jednotlivých resortů vyplývá, že aplikované výsledky s právní ochranou nejsou resorty vyžadovány a tedy nejsou v souladu s jejich potřebami. Resort svou výzkumnou potřebu může naplnit i výsledky, které nejsou definovány v systému RIV, ale které vhodně odpovídají právě jejich potřebám - poznatky a dovedností v souladu s §2 odst 2, písmeno k) z. č. 130/2002 Sb.</w:t>
            </w:r>
          </w:p>
        </w:tc>
      </w:tr>
    </w:tbl>
    <w:p w:rsidR="00A77B1B" w:rsidRDefault="00D53879">
      <w:r>
        <w:rPr>
          <w:rFonts w:ascii="Times New Roman" w:eastAsia="Times New Roman" w:hAnsi="Times New Roman" w:cs="Times New Roman"/>
        </w:rPr>
        <w:t xml:space="preserve"> </w:t>
      </w:r>
    </w:p>
    <w:p w:rsidR="00A77B1B" w:rsidRDefault="00A77B1B"/>
    <w:p w:rsidR="00A77B1B" w:rsidRDefault="00D53879">
      <w:r>
        <w:rPr>
          <w:rFonts w:ascii="Times New Roman" w:eastAsia="Times New Roman" w:hAnsi="Times New Roman" w:cs="Times New Roman"/>
        </w:rPr>
        <w:t xml:space="preserve">V Praze dne </w:t>
      </w:r>
      <w:r w:rsidR="009A55F5">
        <w:rPr>
          <w:rFonts w:ascii="Times New Roman" w:eastAsia="Times New Roman" w:hAnsi="Times New Roman" w:cs="Times New Roman"/>
        </w:rPr>
        <w:t>23</w:t>
      </w:r>
      <w:r>
        <w:rPr>
          <w:rFonts w:ascii="Times New Roman" w:eastAsia="Times New Roman" w:hAnsi="Times New Roman" w:cs="Times New Roman"/>
        </w:rPr>
        <w:t>. 11. 2015</w:t>
      </w:r>
    </w:p>
    <w:p w:rsidR="00A77B1B" w:rsidRDefault="00A77B1B"/>
    <w:p w:rsidR="00A77B1B" w:rsidRDefault="00D53879">
      <w:r>
        <w:rPr>
          <w:rFonts w:ascii="Times New Roman" w:eastAsia="Times New Roman" w:hAnsi="Times New Roman" w:cs="Times New Roman"/>
        </w:rPr>
        <w:t>Vypracoval: Ing. Michaela Orlová</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A77B1B" w:rsidRDefault="00A77B1B"/>
    <w:sectPr w:rsidR="00A77B1B" w:rsidSect="0056547E">
      <w:footerReference w:type="default" r:id="rId7"/>
      <w:pgSz w:w="16838" w:h="11906" w:orient="landscape"/>
      <w:pgMar w:top="1418" w:right="1418" w:bottom="1258" w:left="1418" w:header="708" w:footer="708"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D61" w:rsidRDefault="00B87D61">
      <w:r>
        <w:separator/>
      </w:r>
    </w:p>
  </w:endnote>
  <w:endnote w:type="continuationSeparator" w:id="0">
    <w:p w:rsidR="00B87D61" w:rsidRDefault="00B8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1B" w:rsidRDefault="00D53879">
    <w:pPr>
      <w:tabs>
        <w:tab w:val="center" w:pos="4536"/>
        <w:tab w:val="right" w:pos="9072"/>
      </w:tabs>
      <w:jc w:val="center"/>
    </w:pPr>
    <w:r>
      <w:rPr>
        <w:rFonts w:ascii="Times New Roman" w:eastAsia="Times New Roman" w:hAnsi="Times New Roman" w:cs="Times New Roman"/>
        <w:sz w:val="20"/>
        <w:szCs w:val="20"/>
      </w:rPr>
      <w:t xml:space="preserve">- </w:t>
    </w:r>
    <w:r>
      <w:fldChar w:fldCharType="begin"/>
    </w:r>
    <w:r>
      <w:instrText>PAGE</w:instrText>
    </w:r>
    <w:r>
      <w:fldChar w:fldCharType="separate"/>
    </w:r>
    <w:r w:rsidR="002F5DCD">
      <w:rPr>
        <w:noProof/>
      </w:rPr>
      <w:t>2</w:t>
    </w:r>
    <w:r>
      <w:fldChar w:fldCharType="end"/>
    </w:r>
    <w:r>
      <w:rPr>
        <w:rFonts w:ascii="Times New Roman" w:eastAsia="Times New Roman" w:hAnsi="Times New Roman" w:cs="Times New Roman"/>
        <w:sz w:val="20"/>
        <w:szCs w:val="20"/>
      </w:rPr>
      <w:t xml:space="preserve"> -</w:t>
    </w:r>
  </w:p>
  <w:p w:rsidR="00A77B1B" w:rsidRDefault="00A77B1B">
    <w:pPr>
      <w:tabs>
        <w:tab w:val="center" w:pos="4536"/>
        <w:tab w:val="right" w:pos="9072"/>
      </w:tabs>
      <w:spacing w:after="70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D61" w:rsidRDefault="00B87D61">
      <w:r>
        <w:separator/>
      </w:r>
    </w:p>
  </w:footnote>
  <w:footnote w:type="continuationSeparator" w:id="0">
    <w:p w:rsidR="00B87D61" w:rsidRDefault="00B87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77B1B"/>
    <w:rsid w:val="000248F2"/>
    <w:rsid w:val="000B043F"/>
    <w:rsid w:val="00170208"/>
    <w:rsid w:val="002F5DCD"/>
    <w:rsid w:val="003E7570"/>
    <w:rsid w:val="00481D7B"/>
    <w:rsid w:val="0056547E"/>
    <w:rsid w:val="00893F7B"/>
    <w:rsid w:val="00975C54"/>
    <w:rsid w:val="009A55F5"/>
    <w:rsid w:val="00A77B1B"/>
    <w:rsid w:val="00B87D61"/>
    <w:rsid w:val="00D53879"/>
    <w:rsid w:val="00ED39D1"/>
    <w:rsid w:val="00F278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jc w:val="center"/>
      <w:outlineLvl w:val="0"/>
    </w:pPr>
    <w:rPr>
      <w:b/>
    </w:rPr>
  </w:style>
  <w:style w:type="paragraph" w:styleId="Nadpis2">
    <w:name w:val="heading 2"/>
    <w:basedOn w:val="Normln"/>
    <w:next w:val="Normln"/>
    <w:pPr>
      <w:keepNext/>
      <w:keepLines/>
      <w:outlineLvl w:val="1"/>
    </w:pPr>
    <w:rPr>
      <w:b/>
      <w:smallCaps/>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rPr>
  </w:style>
  <w:style w:type="paragraph" w:styleId="Nadpis5">
    <w:name w:val="heading 5"/>
    <w:basedOn w:val="Normln"/>
    <w:next w:val="Normln"/>
    <w:pPr>
      <w:keepNext/>
      <w:keepLines/>
      <w:spacing w:before="220" w:after="40"/>
      <w:contextualSpacing/>
      <w:outlineLvl w:val="4"/>
    </w:pPr>
    <w:rPr>
      <w:b/>
      <w:sz w:val="22"/>
      <w:szCs w:val="22"/>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paragraph" w:styleId="Textbubliny">
    <w:name w:val="Balloon Text"/>
    <w:basedOn w:val="Normln"/>
    <w:link w:val="TextbublinyChar"/>
    <w:uiPriority w:val="99"/>
    <w:semiHidden/>
    <w:unhideWhenUsed/>
    <w:rsid w:val="00481D7B"/>
    <w:rPr>
      <w:rFonts w:ascii="Tahoma" w:hAnsi="Tahoma" w:cs="Tahoma"/>
      <w:sz w:val="16"/>
      <w:szCs w:val="16"/>
    </w:rPr>
  </w:style>
  <w:style w:type="character" w:customStyle="1" w:styleId="TextbublinyChar">
    <w:name w:val="Text bubliny Char"/>
    <w:basedOn w:val="Standardnpsmoodstavce"/>
    <w:link w:val="Textbubliny"/>
    <w:uiPriority w:val="99"/>
    <w:semiHidden/>
    <w:rsid w:val="00481D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jc w:val="center"/>
      <w:outlineLvl w:val="0"/>
    </w:pPr>
    <w:rPr>
      <w:b/>
    </w:rPr>
  </w:style>
  <w:style w:type="paragraph" w:styleId="Nadpis2">
    <w:name w:val="heading 2"/>
    <w:basedOn w:val="Normln"/>
    <w:next w:val="Normln"/>
    <w:pPr>
      <w:keepNext/>
      <w:keepLines/>
      <w:outlineLvl w:val="1"/>
    </w:pPr>
    <w:rPr>
      <w:b/>
      <w:smallCaps/>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rPr>
  </w:style>
  <w:style w:type="paragraph" w:styleId="Nadpis5">
    <w:name w:val="heading 5"/>
    <w:basedOn w:val="Normln"/>
    <w:next w:val="Normln"/>
    <w:pPr>
      <w:keepNext/>
      <w:keepLines/>
      <w:spacing w:before="220" w:after="40"/>
      <w:contextualSpacing/>
      <w:outlineLvl w:val="4"/>
    </w:pPr>
    <w:rPr>
      <w:b/>
      <w:sz w:val="22"/>
      <w:szCs w:val="22"/>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paragraph" w:styleId="Textbubliny">
    <w:name w:val="Balloon Text"/>
    <w:basedOn w:val="Normln"/>
    <w:link w:val="TextbublinyChar"/>
    <w:uiPriority w:val="99"/>
    <w:semiHidden/>
    <w:unhideWhenUsed/>
    <w:rsid w:val="00481D7B"/>
    <w:rPr>
      <w:rFonts w:ascii="Tahoma" w:hAnsi="Tahoma" w:cs="Tahoma"/>
      <w:sz w:val="16"/>
      <w:szCs w:val="16"/>
    </w:rPr>
  </w:style>
  <w:style w:type="character" w:customStyle="1" w:styleId="TextbublinyChar">
    <w:name w:val="Text bubliny Char"/>
    <w:basedOn w:val="Standardnpsmoodstavce"/>
    <w:link w:val="Textbubliny"/>
    <w:uiPriority w:val="99"/>
    <w:semiHidden/>
    <w:rsid w:val="00481D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1392</Words>
  <Characters>8218</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TA ČR</Company>
  <LinksUpToDate>false</LinksUpToDate>
  <CharactersWithSpaces>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Orlová</dc:creator>
  <cp:lastModifiedBy>Michaela Orlová</cp:lastModifiedBy>
  <cp:revision>5</cp:revision>
  <cp:lastPrinted>2015-11-23T11:03:00Z</cp:lastPrinted>
  <dcterms:created xsi:type="dcterms:W3CDTF">2015-11-23T09:04:00Z</dcterms:created>
  <dcterms:modified xsi:type="dcterms:W3CDTF">2015-11-23T13:00:00Z</dcterms:modified>
</cp:coreProperties>
</file>